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3B3" w:rsidRPr="00BF71B8" w:rsidRDefault="002F1F19" w:rsidP="002F1F2D">
      <w:pPr>
        <w:spacing w:after="0"/>
        <w:rPr>
          <w:b/>
          <w:sz w:val="24"/>
        </w:rPr>
      </w:pPr>
      <w:bookmarkStart w:id="0" w:name="_GoBack"/>
      <w:bookmarkEnd w:id="0"/>
      <w:r w:rsidRPr="00BF71B8">
        <w:rPr>
          <w:b/>
          <w:sz w:val="24"/>
        </w:rPr>
        <w:t xml:space="preserve">Lesopzet EBP </w:t>
      </w:r>
    </w:p>
    <w:p w:rsidR="002F1F19" w:rsidRDefault="002F1F19" w:rsidP="002F1F2D">
      <w:pPr>
        <w:spacing w:after="0"/>
      </w:pPr>
    </w:p>
    <w:p w:rsidR="002F1F19" w:rsidRDefault="002F1F19" w:rsidP="002F1F2D">
      <w:pPr>
        <w:spacing w:after="0"/>
      </w:pPr>
      <w:r>
        <w:t xml:space="preserve">Doelgroep: </w:t>
      </w:r>
      <w:r>
        <w:tab/>
        <w:t xml:space="preserve">hbo verpleegkundigen van de proeftuinen </w:t>
      </w:r>
    </w:p>
    <w:p w:rsidR="004863A8" w:rsidRDefault="002F1F19" w:rsidP="002F1F2D">
      <w:pPr>
        <w:spacing w:after="0"/>
      </w:pPr>
      <w:r>
        <w:t xml:space="preserve">Docenten: </w:t>
      </w:r>
      <w:r>
        <w:tab/>
        <w:t xml:space="preserve">Bart de </w:t>
      </w:r>
      <w:r w:rsidR="004863A8">
        <w:t xml:space="preserve">Vries (informatiespecialist) </w:t>
      </w:r>
    </w:p>
    <w:p w:rsidR="002F1F19" w:rsidRDefault="002F1F19" w:rsidP="004863A8">
      <w:pPr>
        <w:spacing w:after="0"/>
        <w:ind w:left="708" w:firstLine="708"/>
      </w:pPr>
      <w:r>
        <w:t xml:space="preserve">Lysette Hakvoort (geriatrieverpleegkundige en verplegingswetenschapper i.o. </w:t>
      </w:r>
    </w:p>
    <w:p w:rsidR="002F1F19" w:rsidRDefault="002F1F19" w:rsidP="002F1F2D">
      <w:pPr>
        <w:spacing w:after="0"/>
      </w:pPr>
      <w:r>
        <w:t xml:space="preserve">Duur: </w:t>
      </w:r>
      <w:r>
        <w:tab/>
      </w:r>
      <w:r>
        <w:tab/>
        <w:t xml:space="preserve">2,5 uur </w:t>
      </w:r>
    </w:p>
    <w:p w:rsidR="002F1F19" w:rsidRDefault="002F1F19" w:rsidP="002F1F2D">
      <w:pPr>
        <w:spacing w:after="0"/>
      </w:pPr>
    </w:p>
    <w:p w:rsidR="002F1F2D" w:rsidRPr="002F1F19" w:rsidRDefault="002F1F2D" w:rsidP="002F1F2D">
      <w:pPr>
        <w:spacing w:after="0"/>
        <w:rPr>
          <w:b/>
        </w:rPr>
      </w:pPr>
      <w:r w:rsidRPr="002F1F19">
        <w:rPr>
          <w:b/>
        </w:rPr>
        <w:t xml:space="preserve">Beginsituatie </w:t>
      </w:r>
    </w:p>
    <w:p w:rsidR="002F1F19" w:rsidRDefault="00BF71B8" w:rsidP="002F1F2D">
      <w:pPr>
        <w:spacing w:after="0"/>
      </w:pPr>
      <w:r>
        <w:t xml:space="preserve">Deelnemers aan de scholing zijn hbo opgeleide verpleegkundigen, werkend in de proeftuinen. De periode waarin zij </w:t>
      </w:r>
      <w:r w:rsidR="0029550D">
        <w:t xml:space="preserve">als hbo verpleegkundige </w:t>
      </w:r>
      <w:r>
        <w:t xml:space="preserve">zijn opgeleid varieert van meer dan 10 jaar geleden tot recentelijk gediplomeerd. Voor allen geldt dat zij een basis aan onderzoeksvaardigheden hebben geleerd tijdens de opleiding, maar deze in de praktijk niet tot nauwelijks toepassen. </w:t>
      </w:r>
    </w:p>
    <w:p w:rsidR="00E73C38" w:rsidRDefault="00E73C38" w:rsidP="002F1F2D">
      <w:pPr>
        <w:spacing w:after="0"/>
      </w:pPr>
    </w:p>
    <w:p w:rsidR="002F1F19" w:rsidRPr="002F1F19" w:rsidRDefault="002F1F19" w:rsidP="002F1F2D">
      <w:pPr>
        <w:spacing w:after="0"/>
        <w:rPr>
          <w:b/>
        </w:rPr>
      </w:pPr>
      <w:r w:rsidRPr="002F1F19">
        <w:rPr>
          <w:b/>
        </w:rPr>
        <w:t>Doelstelling</w:t>
      </w:r>
    </w:p>
    <w:p w:rsidR="002F1F2D" w:rsidRDefault="002F1F2D" w:rsidP="002F1F2D">
      <w:pPr>
        <w:spacing w:after="0"/>
        <w:rPr>
          <w:rFonts w:ascii="Calibri" w:hAnsi="Calibri"/>
          <w:iCs/>
        </w:rPr>
      </w:pPr>
      <w:r>
        <w:rPr>
          <w:rFonts w:ascii="Calibri" w:hAnsi="Calibri"/>
          <w:iCs/>
        </w:rPr>
        <w:t>Met de proeverijtjes ‘proeven’ verpleegkundigen aan thema’s in de veranderende zorgvraag en vernieuwde compete</w:t>
      </w:r>
      <w:r w:rsidR="00BF71B8">
        <w:rPr>
          <w:rFonts w:ascii="Calibri" w:hAnsi="Calibri"/>
          <w:iCs/>
        </w:rPr>
        <w:t>nties waaronder EBP</w:t>
      </w:r>
      <w:r>
        <w:rPr>
          <w:rFonts w:ascii="Calibri" w:hAnsi="Calibri"/>
          <w:iCs/>
        </w:rPr>
        <w:t>. Na afronding van de scholing:</w:t>
      </w:r>
    </w:p>
    <w:p w:rsidR="002F1F2D" w:rsidRDefault="002F1F2D" w:rsidP="002F1F2D">
      <w:pPr>
        <w:numPr>
          <w:ilvl w:val="0"/>
          <w:numId w:val="4"/>
        </w:numPr>
        <w:spacing w:after="0" w:line="240" w:lineRule="auto"/>
        <w:rPr>
          <w:rFonts w:ascii="Calibri" w:hAnsi="Calibri"/>
          <w:iCs/>
        </w:rPr>
      </w:pPr>
      <w:r>
        <w:rPr>
          <w:rFonts w:ascii="Calibri" w:hAnsi="Calibri"/>
          <w:iCs/>
        </w:rPr>
        <w:t>Kent de deelnemer de stappen van het EBP proces (kennis)</w:t>
      </w:r>
    </w:p>
    <w:p w:rsidR="002F1F2D" w:rsidRDefault="002F1F2D" w:rsidP="002F1F2D">
      <w:pPr>
        <w:pStyle w:val="Lijstalinea"/>
        <w:numPr>
          <w:ilvl w:val="0"/>
          <w:numId w:val="4"/>
        </w:numPr>
        <w:spacing w:after="0"/>
        <w:rPr>
          <w:rFonts w:ascii="Calibri" w:hAnsi="Calibri"/>
          <w:iCs/>
        </w:rPr>
      </w:pPr>
      <w:r>
        <w:rPr>
          <w:rFonts w:ascii="Calibri" w:hAnsi="Calibri"/>
          <w:iCs/>
        </w:rPr>
        <w:t xml:space="preserve">Kan de deelnemer een klinische onzekerheid omzetten in een PICO en deze beantwoorden volgens de stappen van het EBP proces (vaardigheid) </w:t>
      </w:r>
    </w:p>
    <w:p w:rsidR="002F1F2D" w:rsidRDefault="002F1F2D" w:rsidP="002F1F2D">
      <w:pPr>
        <w:pStyle w:val="Lijstalinea"/>
        <w:numPr>
          <w:ilvl w:val="0"/>
          <w:numId w:val="4"/>
        </w:numPr>
        <w:spacing w:after="0"/>
        <w:rPr>
          <w:rFonts w:ascii="Calibri" w:hAnsi="Calibri"/>
          <w:iCs/>
        </w:rPr>
      </w:pPr>
      <w:r>
        <w:rPr>
          <w:rFonts w:ascii="Calibri" w:hAnsi="Calibri"/>
          <w:iCs/>
        </w:rPr>
        <w:t>Kan de deelnemer uitleggen waarom EBP kennis en vaardigheden nodig zijn in de zorgverlening van de toekomst (inzicht)</w:t>
      </w:r>
    </w:p>
    <w:p w:rsidR="002F1F2D" w:rsidRPr="002F1F2D" w:rsidRDefault="002F1F2D" w:rsidP="002F1F2D">
      <w:pPr>
        <w:pStyle w:val="Lijstalinea"/>
        <w:numPr>
          <w:ilvl w:val="0"/>
          <w:numId w:val="4"/>
        </w:numPr>
        <w:spacing w:after="0"/>
        <w:rPr>
          <w:rFonts w:ascii="Calibri" w:hAnsi="Calibri"/>
          <w:iCs/>
        </w:rPr>
      </w:pPr>
      <w:r>
        <w:rPr>
          <w:rFonts w:ascii="Calibri" w:hAnsi="Calibri"/>
          <w:iCs/>
        </w:rPr>
        <w:t xml:space="preserve">Heeft de deelnemer inzicht in zijn eigen competentieniveau rond EBP (reflectie) </w:t>
      </w:r>
    </w:p>
    <w:p w:rsidR="00E73C38" w:rsidRDefault="00E73C38" w:rsidP="002F1F2D">
      <w:pPr>
        <w:spacing w:after="0"/>
        <w:rPr>
          <w:b/>
        </w:rPr>
      </w:pPr>
    </w:p>
    <w:p w:rsidR="002F1F19" w:rsidRPr="002F1F19" w:rsidRDefault="002F1F19" w:rsidP="002F1F2D">
      <w:pPr>
        <w:spacing w:after="0"/>
        <w:rPr>
          <w:b/>
        </w:rPr>
      </w:pPr>
      <w:r w:rsidRPr="002F1F19">
        <w:rPr>
          <w:b/>
        </w:rPr>
        <w:t>Voorbereidingsopdracht</w:t>
      </w:r>
    </w:p>
    <w:p w:rsidR="002F1F19" w:rsidRDefault="002F1F19" w:rsidP="002F1F2D">
      <w:pPr>
        <w:pStyle w:val="Lijstalinea"/>
        <w:numPr>
          <w:ilvl w:val="0"/>
          <w:numId w:val="3"/>
        </w:numPr>
        <w:spacing w:after="0"/>
      </w:pPr>
      <w:r>
        <w:t xml:space="preserve">Een filmpje kijken over wat EBP is </w:t>
      </w:r>
    </w:p>
    <w:p w:rsidR="002F1F19" w:rsidRDefault="002F1F19" w:rsidP="002F1F2D">
      <w:pPr>
        <w:pStyle w:val="Lijstalinea"/>
        <w:numPr>
          <w:ilvl w:val="0"/>
          <w:numId w:val="3"/>
        </w:numPr>
        <w:spacing w:after="0"/>
      </w:pPr>
      <w:r>
        <w:t>Twee voorbeelden lezen van een EBP proces in de praktijk</w:t>
      </w:r>
    </w:p>
    <w:p w:rsidR="002F1F19" w:rsidRDefault="002F1F19" w:rsidP="002F1F2D">
      <w:pPr>
        <w:pStyle w:val="Lijstalinea"/>
        <w:numPr>
          <w:ilvl w:val="0"/>
          <w:numId w:val="3"/>
        </w:numPr>
        <w:spacing w:after="0"/>
      </w:pPr>
      <w:r>
        <w:t>Een klinische onzekerheid beschrijven dat zij tegen komen in het dagelijks werk</w:t>
      </w:r>
    </w:p>
    <w:p w:rsidR="002F1F19" w:rsidRDefault="002F1F19" w:rsidP="002F1F2D">
      <w:pPr>
        <w:pStyle w:val="Lijstalinea"/>
        <w:numPr>
          <w:ilvl w:val="0"/>
          <w:numId w:val="3"/>
        </w:numPr>
        <w:spacing w:after="0"/>
      </w:pPr>
      <w:r>
        <w:t xml:space="preserve">De klinische onzekerheid omzetten in een PICO </w:t>
      </w:r>
    </w:p>
    <w:p w:rsidR="002F1F19" w:rsidRDefault="002F1F19" w:rsidP="002F1F2D">
      <w:pPr>
        <w:spacing w:after="0"/>
      </w:pPr>
    </w:p>
    <w:p w:rsidR="002F1F19" w:rsidRPr="002F1F19" w:rsidRDefault="002F1F19" w:rsidP="002F1F2D">
      <w:pPr>
        <w:spacing w:after="0"/>
        <w:rPr>
          <w:b/>
        </w:rPr>
      </w:pPr>
      <w:r w:rsidRPr="002F1F19">
        <w:rPr>
          <w:b/>
        </w:rPr>
        <w:t xml:space="preserve">Lesopzet </w:t>
      </w:r>
    </w:p>
    <w:tbl>
      <w:tblPr>
        <w:tblStyle w:val="Tabelraster"/>
        <w:tblW w:w="0" w:type="auto"/>
        <w:tblLook w:val="04A0" w:firstRow="1" w:lastRow="0" w:firstColumn="1" w:lastColumn="0" w:noHBand="0" w:noVBand="1"/>
      </w:tblPr>
      <w:tblGrid>
        <w:gridCol w:w="988"/>
        <w:gridCol w:w="1290"/>
        <w:gridCol w:w="5514"/>
        <w:gridCol w:w="1270"/>
      </w:tblGrid>
      <w:tr w:rsidR="002F1F19" w:rsidTr="003072C7">
        <w:tc>
          <w:tcPr>
            <w:tcW w:w="988" w:type="dxa"/>
          </w:tcPr>
          <w:p w:rsidR="002F1F19" w:rsidRPr="00727935" w:rsidRDefault="002F1F19" w:rsidP="002F1F2D">
            <w:pPr>
              <w:rPr>
                <w:i/>
              </w:rPr>
            </w:pPr>
            <w:r w:rsidRPr="00727935">
              <w:rPr>
                <w:i/>
              </w:rPr>
              <w:t>Tijd</w:t>
            </w:r>
          </w:p>
        </w:tc>
        <w:tc>
          <w:tcPr>
            <w:tcW w:w="1290" w:type="dxa"/>
          </w:tcPr>
          <w:p w:rsidR="002F1F19" w:rsidRPr="00727935" w:rsidRDefault="002F1F19" w:rsidP="003072C7">
            <w:pPr>
              <w:rPr>
                <w:i/>
              </w:rPr>
            </w:pPr>
            <w:r w:rsidRPr="00727935">
              <w:rPr>
                <w:i/>
              </w:rPr>
              <w:t>Doel</w:t>
            </w:r>
            <w:r w:rsidR="00AD2D08" w:rsidRPr="00727935">
              <w:rPr>
                <w:i/>
              </w:rPr>
              <w:t xml:space="preserve"> </w:t>
            </w:r>
          </w:p>
        </w:tc>
        <w:tc>
          <w:tcPr>
            <w:tcW w:w="5514" w:type="dxa"/>
          </w:tcPr>
          <w:p w:rsidR="002F1F19" w:rsidRPr="00727935" w:rsidRDefault="002F1F19" w:rsidP="002F1F2D">
            <w:pPr>
              <w:rPr>
                <w:i/>
              </w:rPr>
            </w:pPr>
            <w:r w:rsidRPr="00727935">
              <w:rPr>
                <w:i/>
              </w:rPr>
              <w:t>Werkvorm</w:t>
            </w:r>
          </w:p>
        </w:tc>
        <w:tc>
          <w:tcPr>
            <w:tcW w:w="1270" w:type="dxa"/>
          </w:tcPr>
          <w:p w:rsidR="002F1F19" w:rsidRPr="00727935" w:rsidRDefault="00AD2D08" w:rsidP="002F1F2D">
            <w:pPr>
              <w:rPr>
                <w:i/>
              </w:rPr>
            </w:pPr>
            <w:r w:rsidRPr="00727935">
              <w:rPr>
                <w:i/>
              </w:rPr>
              <w:t>Docent</w:t>
            </w:r>
          </w:p>
        </w:tc>
      </w:tr>
      <w:tr w:rsidR="002F1F19" w:rsidTr="003072C7">
        <w:tc>
          <w:tcPr>
            <w:tcW w:w="988" w:type="dxa"/>
          </w:tcPr>
          <w:p w:rsidR="002F1F19" w:rsidRDefault="00AD2D08" w:rsidP="002F1F2D">
            <w:r>
              <w:t>13.00 – 13.</w:t>
            </w:r>
            <w:r w:rsidR="004A04D4">
              <w:t>2</w:t>
            </w:r>
            <w:r w:rsidR="006F5ED4">
              <w:t>0</w:t>
            </w:r>
          </w:p>
        </w:tc>
        <w:tc>
          <w:tcPr>
            <w:tcW w:w="1290" w:type="dxa"/>
          </w:tcPr>
          <w:p w:rsidR="002F1F19" w:rsidRDefault="00AD2D08" w:rsidP="002F1F2D">
            <w:r>
              <w:t xml:space="preserve">Inzicht </w:t>
            </w:r>
          </w:p>
        </w:tc>
        <w:tc>
          <w:tcPr>
            <w:tcW w:w="5514" w:type="dxa"/>
          </w:tcPr>
          <w:p w:rsidR="002F1F19" w:rsidRDefault="006F5ED4" w:rsidP="002F1F2D">
            <w:r>
              <w:t>Presentatie en discussie over meerwaarde van EBP en wetenschappelijk onderzoek voor verpleegkundige zorg</w:t>
            </w:r>
            <w:r w:rsidR="003072C7">
              <w:t xml:space="preserve">, toelichting op </w:t>
            </w:r>
            <w:r>
              <w:t xml:space="preserve">onderzoekslijnen </w:t>
            </w:r>
          </w:p>
        </w:tc>
        <w:tc>
          <w:tcPr>
            <w:tcW w:w="1270" w:type="dxa"/>
          </w:tcPr>
          <w:p w:rsidR="002F1F19" w:rsidRDefault="006F5ED4" w:rsidP="002F1F2D">
            <w:r>
              <w:t xml:space="preserve">Lysette </w:t>
            </w:r>
          </w:p>
        </w:tc>
      </w:tr>
      <w:tr w:rsidR="002F1F19" w:rsidTr="004A04D4">
        <w:trPr>
          <w:trHeight w:val="549"/>
        </w:trPr>
        <w:tc>
          <w:tcPr>
            <w:tcW w:w="988" w:type="dxa"/>
          </w:tcPr>
          <w:p w:rsidR="004A04D4" w:rsidRDefault="004A04D4" w:rsidP="002F1F2D">
            <w:r>
              <w:t xml:space="preserve">13.20 – </w:t>
            </w:r>
          </w:p>
          <w:p w:rsidR="004A04D4" w:rsidRDefault="004A04D4" w:rsidP="002F1F2D">
            <w:r>
              <w:t xml:space="preserve">13.30 </w:t>
            </w:r>
          </w:p>
        </w:tc>
        <w:tc>
          <w:tcPr>
            <w:tcW w:w="1290" w:type="dxa"/>
          </w:tcPr>
          <w:p w:rsidR="002F1F19" w:rsidRDefault="00AD2D08" w:rsidP="002F1F2D">
            <w:r>
              <w:t>Kennis</w:t>
            </w:r>
          </w:p>
        </w:tc>
        <w:tc>
          <w:tcPr>
            <w:tcW w:w="5514" w:type="dxa"/>
          </w:tcPr>
          <w:p w:rsidR="004A04D4" w:rsidRDefault="00542D5F" w:rsidP="002F1F2D">
            <w:r>
              <w:t xml:space="preserve">- </w:t>
            </w:r>
            <w:r w:rsidR="006F5ED4">
              <w:t xml:space="preserve">Presentatie EBP proces </w:t>
            </w:r>
          </w:p>
          <w:p w:rsidR="006F5ED4" w:rsidRDefault="006F5ED4" w:rsidP="002F1F2D"/>
        </w:tc>
        <w:tc>
          <w:tcPr>
            <w:tcW w:w="1270" w:type="dxa"/>
          </w:tcPr>
          <w:p w:rsidR="002F1F19" w:rsidRDefault="006F5ED4" w:rsidP="002F1F2D">
            <w:r>
              <w:t xml:space="preserve">Lysette </w:t>
            </w:r>
          </w:p>
          <w:p w:rsidR="006F5ED4" w:rsidRDefault="006F5ED4" w:rsidP="002F1F2D"/>
        </w:tc>
      </w:tr>
      <w:tr w:rsidR="004A04D4" w:rsidTr="003072C7">
        <w:tc>
          <w:tcPr>
            <w:tcW w:w="988" w:type="dxa"/>
          </w:tcPr>
          <w:p w:rsidR="004A04D4" w:rsidRDefault="004A04D4" w:rsidP="004A04D4">
            <w:r>
              <w:t xml:space="preserve">13.30 – </w:t>
            </w:r>
          </w:p>
          <w:p w:rsidR="004A04D4" w:rsidRDefault="004A04D4" w:rsidP="004A04D4">
            <w:r>
              <w:t>14.00</w:t>
            </w:r>
          </w:p>
        </w:tc>
        <w:tc>
          <w:tcPr>
            <w:tcW w:w="1290" w:type="dxa"/>
          </w:tcPr>
          <w:p w:rsidR="004A04D4" w:rsidRDefault="004A04D4" w:rsidP="002F1F2D">
            <w:r>
              <w:t xml:space="preserve">Kennis </w:t>
            </w:r>
          </w:p>
        </w:tc>
        <w:tc>
          <w:tcPr>
            <w:tcW w:w="5514" w:type="dxa"/>
          </w:tcPr>
          <w:p w:rsidR="004A04D4" w:rsidRDefault="004A04D4" w:rsidP="002F1F2D">
            <w:r>
              <w:t>- Presentatie opstellen PICO en zoekstrategieën in PubMed</w:t>
            </w:r>
          </w:p>
        </w:tc>
        <w:tc>
          <w:tcPr>
            <w:tcW w:w="1270" w:type="dxa"/>
          </w:tcPr>
          <w:p w:rsidR="004A04D4" w:rsidRDefault="004A04D4" w:rsidP="002F1F2D">
            <w:r>
              <w:t>Bart</w:t>
            </w:r>
          </w:p>
        </w:tc>
      </w:tr>
      <w:tr w:rsidR="002F1F19" w:rsidTr="003072C7">
        <w:tc>
          <w:tcPr>
            <w:tcW w:w="988" w:type="dxa"/>
          </w:tcPr>
          <w:p w:rsidR="002F1F19" w:rsidRDefault="004A04D4" w:rsidP="002F1F2D">
            <w:r>
              <w:t>14.00</w:t>
            </w:r>
            <w:r w:rsidR="006F5ED4">
              <w:t xml:space="preserve"> </w:t>
            </w:r>
            <w:r w:rsidR="00727935">
              <w:t xml:space="preserve">– </w:t>
            </w:r>
            <w:r w:rsidR="006F167D">
              <w:t>15.10</w:t>
            </w:r>
          </w:p>
        </w:tc>
        <w:tc>
          <w:tcPr>
            <w:tcW w:w="1290" w:type="dxa"/>
          </w:tcPr>
          <w:p w:rsidR="002F1F19" w:rsidRDefault="00AD2D08" w:rsidP="002F1F2D">
            <w:r>
              <w:t xml:space="preserve">Vaardigheid </w:t>
            </w:r>
          </w:p>
        </w:tc>
        <w:tc>
          <w:tcPr>
            <w:tcW w:w="5514" w:type="dxa"/>
          </w:tcPr>
          <w:p w:rsidR="006F5ED4" w:rsidRDefault="00542D5F" w:rsidP="002F1F2D">
            <w:r>
              <w:t xml:space="preserve">- </w:t>
            </w:r>
            <w:r w:rsidR="00743415">
              <w:t xml:space="preserve">Aanscherpen PICO dmv peer feedback </w:t>
            </w:r>
          </w:p>
          <w:p w:rsidR="00743415" w:rsidRDefault="00743415" w:rsidP="002F1F2D">
            <w:r>
              <w:t xml:space="preserve">- Zoekopdracht </w:t>
            </w:r>
            <w:r w:rsidR="004A04D4">
              <w:t xml:space="preserve">op pc </w:t>
            </w:r>
            <w:r>
              <w:t xml:space="preserve">aan de hand van PICO uit voorbereidingsopdracht (desinfectie voor injectie) </w:t>
            </w:r>
          </w:p>
          <w:p w:rsidR="00743415" w:rsidRDefault="00743415" w:rsidP="002F1F2D">
            <w:r>
              <w:t xml:space="preserve">- </w:t>
            </w:r>
            <w:r w:rsidR="004A04D4">
              <w:t>Doorspreken beoordelen artikel</w:t>
            </w:r>
          </w:p>
          <w:p w:rsidR="006F5ED4" w:rsidRDefault="00542D5F" w:rsidP="006F5ED4">
            <w:r>
              <w:t xml:space="preserve">- </w:t>
            </w:r>
            <w:r w:rsidR="006F5ED4">
              <w:t>Plenaire terugkoppeling door deelnemers</w:t>
            </w:r>
          </w:p>
        </w:tc>
        <w:tc>
          <w:tcPr>
            <w:tcW w:w="1270" w:type="dxa"/>
          </w:tcPr>
          <w:p w:rsidR="006F5ED4" w:rsidRDefault="006F5ED4" w:rsidP="002F1F2D">
            <w:r>
              <w:t xml:space="preserve">Bart </w:t>
            </w:r>
          </w:p>
          <w:p w:rsidR="004A04D4" w:rsidRDefault="004A04D4" w:rsidP="002F1F2D"/>
          <w:p w:rsidR="004A04D4" w:rsidRDefault="004A04D4" w:rsidP="002F1F2D"/>
          <w:p w:rsidR="004A04D4" w:rsidRDefault="004A04D4" w:rsidP="002F1F2D">
            <w:r>
              <w:t xml:space="preserve">Lysette </w:t>
            </w:r>
          </w:p>
        </w:tc>
      </w:tr>
      <w:tr w:rsidR="002F1F19" w:rsidTr="003072C7">
        <w:tc>
          <w:tcPr>
            <w:tcW w:w="988" w:type="dxa"/>
          </w:tcPr>
          <w:p w:rsidR="002F1F19" w:rsidRDefault="00AD2D08" w:rsidP="002F1F2D">
            <w:r>
              <w:t>15.10 – 15.30</w:t>
            </w:r>
          </w:p>
        </w:tc>
        <w:tc>
          <w:tcPr>
            <w:tcW w:w="1290" w:type="dxa"/>
          </w:tcPr>
          <w:p w:rsidR="002F1F19" w:rsidRDefault="00AD2D08" w:rsidP="002F1F2D">
            <w:r>
              <w:t>Reflectie</w:t>
            </w:r>
          </w:p>
        </w:tc>
        <w:tc>
          <w:tcPr>
            <w:tcW w:w="5514" w:type="dxa"/>
          </w:tcPr>
          <w:p w:rsidR="002F1F19" w:rsidRDefault="00542D5F" w:rsidP="002F1F2D">
            <w:r>
              <w:t xml:space="preserve">- </w:t>
            </w:r>
            <w:r w:rsidR="00AD2D08">
              <w:t xml:space="preserve">Terugblik en evaluatie op de bijeenkomst </w:t>
            </w:r>
          </w:p>
          <w:p w:rsidR="00AD2D08" w:rsidRDefault="00542D5F" w:rsidP="002F1F2D">
            <w:r>
              <w:t xml:space="preserve">- </w:t>
            </w:r>
            <w:r w:rsidR="00AD2D08">
              <w:t xml:space="preserve">Formuleren individueel leerdoel </w:t>
            </w:r>
          </w:p>
        </w:tc>
        <w:tc>
          <w:tcPr>
            <w:tcW w:w="1270" w:type="dxa"/>
          </w:tcPr>
          <w:p w:rsidR="002F1F19" w:rsidRDefault="00AD2D08" w:rsidP="002F1F2D">
            <w:r>
              <w:t xml:space="preserve">Lysette / Bart </w:t>
            </w:r>
          </w:p>
        </w:tc>
      </w:tr>
    </w:tbl>
    <w:p w:rsidR="002F1F19" w:rsidRDefault="002F1F19" w:rsidP="002F1F2D">
      <w:pPr>
        <w:spacing w:after="0"/>
      </w:pPr>
    </w:p>
    <w:p w:rsidR="002F1F2D" w:rsidRPr="002F1F2D" w:rsidRDefault="002F1F2D" w:rsidP="002F1F2D">
      <w:pPr>
        <w:spacing w:after="0"/>
        <w:rPr>
          <w:b/>
        </w:rPr>
      </w:pPr>
      <w:r w:rsidRPr="002F1F2D">
        <w:rPr>
          <w:b/>
        </w:rPr>
        <w:t>Bronnen</w:t>
      </w:r>
    </w:p>
    <w:p w:rsidR="00BF71B8" w:rsidRPr="00BF71B8" w:rsidRDefault="002F1F2D" w:rsidP="00BF71B8">
      <w:pPr>
        <w:pStyle w:val="Lijstalinea"/>
        <w:numPr>
          <w:ilvl w:val="0"/>
          <w:numId w:val="5"/>
        </w:numPr>
        <w:spacing w:after="0"/>
        <w:rPr>
          <w:i/>
        </w:rPr>
      </w:pPr>
      <w:r>
        <w:t xml:space="preserve">Grol, R., &amp; Wensing, M. (2003). Van wetenschappelijke kennis naar optimale patiëntenzorg. </w:t>
      </w:r>
      <w:r w:rsidRPr="00BF71B8">
        <w:rPr>
          <w:i/>
        </w:rPr>
        <w:t>Medisch Contact</w:t>
      </w:r>
      <w:r>
        <w:t>. 12.</w:t>
      </w:r>
    </w:p>
    <w:p w:rsidR="00BF71B8" w:rsidRPr="00BF71B8" w:rsidRDefault="002F1F2D" w:rsidP="00BF71B8">
      <w:pPr>
        <w:pStyle w:val="Lijstalinea"/>
        <w:numPr>
          <w:ilvl w:val="0"/>
          <w:numId w:val="5"/>
        </w:numPr>
        <w:spacing w:after="0"/>
        <w:rPr>
          <w:rStyle w:val="Hyperlink"/>
          <w:color w:val="auto"/>
          <w:u w:val="none"/>
        </w:rPr>
      </w:pPr>
      <w:r>
        <w:lastRenderedPageBreak/>
        <w:t xml:space="preserve">Sackett, D.L., Rosenberg, W.M., Gray, J.A., Haynes, R.B., &amp; Richardson, W.S.. (1996). Evidence based medicine: what it is and what it isn't. </w:t>
      </w:r>
      <w:r w:rsidRPr="00BF71B8">
        <w:rPr>
          <w:i/>
        </w:rPr>
        <w:t>British Medical Journal, 13</w:t>
      </w:r>
      <w:r>
        <w:t>;71-2.</w:t>
      </w:r>
    </w:p>
    <w:p w:rsidR="002F1F19" w:rsidRDefault="002F1F2D" w:rsidP="00C947D2">
      <w:pPr>
        <w:pStyle w:val="Lijstalinea"/>
        <w:numPr>
          <w:ilvl w:val="0"/>
          <w:numId w:val="5"/>
        </w:numPr>
        <w:spacing w:after="0"/>
      </w:pPr>
      <w:r w:rsidRPr="002F1F2D">
        <w:rPr>
          <w:rStyle w:val="Hyperlink"/>
        </w:rPr>
        <w:t>https://www.nursing.nl/verpleegkundigen/achtergrond/2009/2/de-vijf-stappen-van-ebp-nurs004613w/</w:t>
      </w:r>
    </w:p>
    <w:sectPr w:rsidR="002F1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3D63"/>
    <w:multiLevelType w:val="hybridMultilevel"/>
    <w:tmpl w:val="A0E625A4"/>
    <w:lvl w:ilvl="0" w:tplc="962EF6B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5B6DCD"/>
    <w:multiLevelType w:val="hybridMultilevel"/>
    <w:tmpl w:val="CAA468EC"/>
    <w:lvl w:ilvl="0" w:tplc="A8C86B0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0C337D"/>
    <w:multiLevelType w:val="hybridMultilevel"/>
    <w:tmpl w:val="C20E4F8C"/>
    <w:lvl w:ilvl="0" w:tplc="9BA0C37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35694C"/>
    <w:multiLevelType w:val="hybridMultilevel"/>
    <w:tmpl w:val="E1F40D60"/>
    <w:lvl w:ilvl="0" w:tplc="A266A28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ED120C"/>
    <w:multiLevelType w:val="hybridMultilevel"/>
    <w:tmpl w:val="107A9722"/>
    <w:lvl w:ilvl="0" w:tplc="9BA0C37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19"/>
    <w:rsid w:val="0029550D"/>
    <w:rsid w:val="00295756"/>
    <w:rsid w:val="002F1F19"/>
    <w:rsid w:val="002F1F2D"/>
    <w:rsid w:val="003072C7"/>
    <w:rsid w:val="004863A8"/>
    <w:rsid w:val="004A04D4"/>
    <w:rsid w:val="00537C52"/>
    <w:rsid w:val="00542D5F"/>
    <w:rsid w:val="005873B3"/>
    <w:rsid w:val="006F167D"/>
    <w:rsid w:val="006F5ED4"/>
    <w:rsid w:val="00727935"/>
    <w:rsid w:val="00743415"/>
    <w:rsid w:val="00AD2D08"/>
    <w:rsid w:val="00BF71B8"/>
    <w:rsid w:val="00E73C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978AB-1375-4B41-8C18-0DBF2FBF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F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F1F19"/>
    <w:pPr>
      <w:ind w:left="720"/>
      <w:contextualSpacing/>
    </w:pPr>
  </w:style>
  <w:style w:type="character" w:styleId="Hyperlink">
    <w:name w:val="Hyperlink"/>
    <w:basedOn w:val="Standaardalinea-lettertype"/>
    <w:uiPriority w:val="99"/>
    <w:unhideWhenUsed/>
    <w:rsid w:val="002F1F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2151</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Maxima Medisch Centrum</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Berlo, Iris van (MMC Academie)</dc:creator>
  <cp:keywords/>
  <dc:description/>
  <cp:lastModifiedBy>Maas, Bea (lid OR)</cp:lastModifiedBy>
  <cp:revision>2</cp:revision>
  <dcterms:created xsi:type="dcterms:W3CDTF">2017-07-20T14:03:00Z</dcterms:created>
  <dcterms:modified xsi:type="dcterms:W3CDTF">2017-07-20T14:03:00Z</dcterms:modified>
</cp:coreProperties>
</file>